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9B9F" w14:textId="77777777" w:rsidR="00822A5C" w:rsidRDefault="00822A5C">
      <w:pPr>
        <w:rPr>
          <w:b/>
          <w:bCs/>
        </w:rPr>
      </w:pPr>
    </w:p>
    <w:p w14:paraId="4C4CFC6A" w14:textId="1F83C267" w:rsidR="006B1506" w:rsidRPr="004253D5" w:rsidRDefault="004253D5">
      <w:pPr>
        <w:rPr>
          <w:b/>
          <w:bCs/>
        </w:rPr>
      </w:pPr>
      <w:r w:rsidRPr="004253D5">
        <w:rPr>
          <w:b/>
          <w:bCs/>
        </w:rPr>
        <w:t>Social media post suggestions</w:t>
      </w:r>
      <w:r w:rsidRPr="004253D5">
        <w:rPr>
          <w:b/>
          <w:bCs/>
        </w:rPr>
        <w:br/>
      </w:r>
    </w:p>
    <w:p w14:paraId="3368160A" w14:textId="137CEEE3" w:rsidR="004253D5" w:rsidRDefault="004253D5">
      <w:r>
        <w:t>Did you know that Health Canada is going to be charging annual fees on every natural health product sold in Canada, and that will result in a reduction in availability (less) and cost (more) to the public? #nnhpd #healthcanada #naturalhealthproducts #chineseherbs</w:t>
      </w:r>
      <w:r w:rsidR="004C4582">
        <w:t xml:space="preserve"> </w:t>
      </w:r>
      <w:r w:rsidR="004C4582">
        <w:t>#cdnpoli</w:t>
      </w:r>
    </w:p>
    <w:p w14:paraId="7A1748FD" w14:textId="77777777" w:rsidR="004253D5" w:rsidRDefault="004253D5"/>
    <w:p w14:paraId="63DE4274" w14:textId="2076356A" w:rsidR="00801758" w:rsidRDefault="0048600A">
      <w:r>
        <w:t>Did you know that</w:t>
      </w:r>
      <w:r w:rsidR="00801758">
        <w:t xml:space="preserve"> you may soon find it harder to get the natural health products that you rely upon? </w:t>
      </w:r>
      <w:r w:rsidR="00EB0EDE">
        <w:t xml:space="preserve">Natural </w:t>
      </w:r>
      <w:r w:rsidR="00975773">
        <w:t xml:space="preserve">health </w:t>
      </w:r>
      <w:r w:rsidR="00EB0EDE">
        <w:t xml:space="preserve">product manufacturers and distributors in Canada will need to decide if they can afford </w:t>
      </w:r>
      <w:r w:rsidR="00801758">
        <w:t>Health Canada</w:t>
      </w:r>
      <w:r w:rsidR="00EB0EDE">
        <w:t>’s</w:t>
      </w:r>
      <w:r w:rsidR="00801758">
        <w:t xml:space="preserve"> </w:t>
      </w:r>
      <w:r w:rsidR="00EB0EDE">
        <w:t>upcoming</w:t>
      </w:r>
      <w:r w:rsidR="00801758">
        <w:t xml:space="preserve"> annual fees on every single product that is regula</w:t>
      </w:r>
      <w:r w:rsidR="00EB0EDE">
        <w:t>ted in Canada</w:t>
      </w:r>
      <w:r w:rsidR="00975773">
        <w:t xml:space="preserve">. </w:t>
      </w:r>
      <w:r w:rsidR="008132B6">
        <w:t xml:space="preserve">This includes the Chinese herbal products I prescribe to my patients. </w:t>
      </w:r>
      <w:r w:rsidR="00CB5E39">
        <w:t>#nnhpd #healthcanada #naturalhealthproducts #chineseherbs</w:t>
      </w:r>
      <w:r w:rsidR="004C4582">
        <w:t xml:space="preserve"> </w:t>
      </w:r>
      <w:r w:rsidR="004C4582">
        <w:t>#cdnpoli</w:t>
      </w:r>
    </w:p>
    <w:p w14:paraId="1C8133A8" w14:textId="77777777" w:rsidR="00975773" w:rsidRDefault="00975773"/>
    <w:p w14:paraId="4EF55D48" w14:textId="55ED84D4" w:rsidR="004253D5" w:rsidRDefault="00CB5E39">
      <w:r>
        <w:t>Did you know that</w:t>
      </w:r>
      <w:r w:rsidR="0048600A">
        <w:t xml:space="preserve"> registered Traditional Chinese Medicine (TCM) herbalists, practitioners, and doctors who prescribe Chinese herbal formulas </w:t>
      </w:r>
      <w:r w:rsidR="00A31CCB">
        <w:t xml:space="preserve">may choose from hundreds of possible herbs and formulas when they customize your treatments? </w:t>
      </w:r>
      <w:r>
        <w:t>When</w:t>
      </w:r>
      <w:r w:rsidR="00A31CCB">
        <w:t xml:space="preserve"> Health Canada </w:t>
      </w:r>
      <w:r>
        <w:t>starts</w:t>
      </w:r>
      <w:r w:rsidR="00214345">
        <w:t xml:space="preserve"> charging</w:t>
      </w:r>
      <w:r>
        <w:t xml:space="preserve"> their planned</w:t>
      </w:r>
      <w:r w:rsidR="00A31CCB">
        <w:t xml:space="preserve"> annual fees on </w:t>
      </w:r>
      <w:r>
        <w:t>these herbs, I may have a harder time sourcing your herbs, and your cost is likely to increase.</w:t>
      </w:r>
      <w:r w:rsidR="00801758">
        <w:t xml:space="preserve"> </w:t>
      </w:r>
      <w:r>
        <w:t>#nnhpd #healthcanada #naturalhealthproducts #chineseherbs</w:t>
      </w:r>
      <w:r w:rsidR="004C4582">
        <w:t xml:space="preserve"> </w:t>
      </w:r>
      <w:r w:rsidR="004C4582">
        <w:t>#cdnpoli</w:t>
      </w:r>
    </w:p>
    <w:p w14:paraId="7B67B2BC" w14:textId="77777777" w:rsidR="00CB5E39" w:rsidRDefault="00CB5E39"/>
    <w:p w14:paraId="534A02A9" w14:textId="4B1712A3" w:rsidR="00CB5E39" w:rsidRDefault="002B6AAE">
      <w:r>
        <w:t xml:space="preserve">Do you use natural health products? You may want to </w:t>
      </w:r>
      <w:r w:rsidR="006B519A">
        <w:t xml:space="preserve">know that Health Canada’s planned fees on every regulated natural health product in Canada will likely result in a loss of available options and an increase in prices. </w:t>
      </w:r>
      <w:r w:rsidR="00822A5C">
        <w:t xml:space="preserve">This includes the Chinese herbs that I prescribe. </w:t>
      </w:r>
      <w:r w:rsidR="00822A5C">
        <w:t>#nnhpd #healthcanada #naturalhealthproducts #chineseherbs</w:t>
      </w:r>
      <w:r w:rsidR="004C4582">
        <w:t xml:space="preserve"> </w:t>
      </w:r>
      <w:r w:rsidR="004C4582">
        <w:t>#cdnpoli</w:t>
      </w:r>
    </w:p>
    <w:p w14:paraId="525199BD" w14:textId="77777777" w:rsidR="00822A5C" w:rsidRDefault="00822A5C"/>
    <w:p w14:paraId="066EA143" w14:textId="5BFC16DE" w:rsidR="00445691" w:rsidRDefault="00445691">
      <w:r>
        <w:t xml:space="preserve">Did you know that Chinese herbs prescribed by a regulated TCM professional in BC can help manage chronic illnesses, treat pain, reduce stress and anxiety, </w:t>
      </w:r>
      <w:r w:rsidR="005E3105">
        <w:t>help manage depression and addiction, and improve health outcomes? We don’t want Health Canada’s upcoming fees to make it harder to access the products that help reduce our healthcare burden</w:t>
      </w:r>
      <w:r w:rsidR="000D741F">
        <w:t xml:space="preserve">. </w:t>
      </w:r>
      <w:r w:rsidR="000D741F">
        <w:t>#nnhpd #healthcanada #naturalhealthproducts #chineseherbs</w:t>
      </w:r>
      <w:r w:rsidR="000D741F">
        <w:t xml:space="preserve"> </w:t>
      </w:r>
      <w:r w:rsidR="004C4582">
        <w:t>#cdnpoli</w:t>
      </w:r>
    </w:p>
    <w:sectPr w:rsidR="0044569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3997" w14:textId="77777777" w:rsidR="00554F93" w:rsidRDefault="00554F93" w:rsidP="004253D5">
      <w:pPr>
        <w:spacing w:after="0" w:line="240" w:lineRule="auto"/>
      </w:pPr>
      <w:r>
        <w:separator/>
      </w:r>
    </w:p>
  </w:endnote>
  <w:endnote w:type="continuationSeparator" w:id="0">
    <w:p w14:paraId="5CF06E2F" w14:textId="77777777" w:rsidR="00554F93" w:rsidRDefault="00554F93" w:rsidP="0042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altName w:val="Kristen IT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16F6" w14:textId="77777777" w:rsidR="00554F93" w:rsidRDefault="00554F93" w:rsidP="004253D5">
      <w:pPr>
        <w:spacing w:after="0" w:line="240" w:lineRule="auto"/>
      </w:pPr>
      <w:r>
        <w:separator/>
      </w:r>
    </w:p>
  </w:footnote>
  <w:footnote w:type="continuationSeparator" w:id="0">
    <w:p w14:paraId="047E6E47" w14:textId="77777777" w:rsidR="00554F93" w:rsidRDefault="00554F93" w:rsidP="0042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9900" w14:textId="7270468E" w:rsidR="004253D5" w:rsidRPr="00B75591" w:rsidRDefault="004253D5" w:rsidP="004253D5">
    <w:pPr>
      <w:spacing w:line="240" w:lineRule="auto"/>
      <w:jc w:val="center"/>
      <w:rPr>
        <w:rFonts w:eastAsia="TimesNewRomanPS-BoldMT"/>
        <w:b/>
        <w:bCs/>
        <w:sz w:val="28"/>
        <w:szCs w:val="36"/>
      </w:rPr>
    </w:pPr>
    <w:r w:rsidRPr="00B75591">
      <w:rPr>
        <w:rFonts w:eastAsia="TimesNewRomanPS-BoldMT"/>
        <w:b/>
        <w:bCs/>
        <w:noProof/>
        <w:sz w:val="28"/>
        <w:szCs w:val="36"/>
      </w:rPr>
      <w:drawing>
        <wp:anchor distT="0" distB="0" distL="114300" distR="114300" simplePos="0" relativeHeight="251659264" behindDoc="1" locked="0" layoutInCell="1" allowOverlap="1" wp14:anchorId="6BE27036" wp14:editId="584FAC92">
          <wp:simplePos x="0" y="0"/>
          <wp:positionH relativeFrom="margin">
            <wp:posOffset>-12700</wp:posOffset>
          </wp:positionH>
          <wp:positionV relativeFrom="paragraph">
            <wp:posOffset>-183515</wp:posOffset>
          </wp:positionV>
          <wp:extent cx="762000" cy="1343025"/>
          <wp:effectExtent l="0" t="0" r="0" b="9525"/>
          <wp:wrapTight wrapText="bothSides">
            <wp:wrapPolygon edited="0">
              <wp:start x="0" y="0"/>
              <wp:lineTo x="0" y="21447"/>
              <wp:lineTo x="21060" y="21447"/>
              <wp:lineTo x="21060" y="0"/>
              <wp:lineTo x="0" y="0"/>
            </wp:wrapPolygon>
          </wp:wrapTight>
          <wp:docPr id="2" name="Picture 2" descr="A logo with a yin yang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yin yang symbol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91">
      <w:rPr>
        <w:rFonts w:eastAsia="TimesNewRomanPS-BoldMT"/>
        <w:b/>
        <w:bCs/>
        <w:sz w:val="28"/>
        <w:szCs w:val="36"/>
      </w:rPr>
      <w:t>British Columbia Association of Traditional Chinese Medicine and Acupuncture Practitioners</w:t>
    </w:r>
  </w:p>
  <w:p w14:paraId="12CF4F26" w14:textId="77777777" w:rsidR="004253D5" w:rsidRPr="0055112B" w:rsidRDefault="004253D5" w:rsidP="004253D5">
    <w:pPr>
      <w:spacing w:line="240" w:lineRule="auto"/>
      <w:ind w:right="-263"/>
      <w:jc w:val="center"/>
      <w:rPr>
        <w:rFonts w:ascii="Times New Roman" w:eastAsia="DFKai-SB" w:hAnsi="Times New Roman" w:cs="Times New Roman"/>
        <w:b/>
        <w:bCs/>
        <w:sz w:val="28"/>
        <w:szCs w:val="28"/>
      </w:rPr>
    </w:pP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卑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詩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省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中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醫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針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灸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師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公</w:t>
    </w:r>
    <w:r w:rsidRPr="0055112B">
      <w:rPr>
        <w:rFonts w:ascii="Times New Roman" w:eastAsia="DFKai-SB" w:hAnsi="Times New Roman" w:cs="Times New Roman"/>
        <w:b/>
        <w:bCs/>
        <w:sz w:val="28"/>
        <w:szCs w:val="28"/>
      </w:rPr>
      <w:t xml:space="preserve"> </w:t>
    </w:r>
    <w:r w:rsidRPr="0055112B">
      <w:rPr>
        <w:rFonts w:ascii="Times New Roman" w:eastAsia="MS Mincho" w:hAnsi="Times New Roman" w:cs="Times New Roman"/>
        <w:b/>
        <w:bCs/>
        <w:sz w:val="28"/>
        <w:szCs w:val="28"/>
      </w:rPr>
      <w:t>會</w:t>
    </w:r>
  </w:p>
  <w:p w14:paraId="361C167C" w14:textId="77777777" w:rsidR="004253D5" w:rsidRPr="00F80CEF" w:rsidRDefault="004253D5" w:rsidP="004253D5">
    <w:pPr>
      <w:pStyle w:val="Header"/>
      <w:rPr>
        <w:rFonts w:ascii="Times New Roman" w:hAnsi="Times New Roman" w:cs="Times New Roman"/>
      </w:rPr>
    </w:pPr>
  </w:p>
  <w:p w14:paraId="6E9756EE" w14:textId="77777777" w:rsidR="004253D5" w:rsidRPr="00B75591" w:rsidRDefault="004253D5" w:rsidP="004253D5">
    <w:pPr>
      <w:pStyle w:val="Header"/>
      <w:rPr>
        <w:sz w:val="20"/>
        <w:szCs w:val="20"/>
      </w:rPr>
    </w:pPr>
    <w:r w:rsidRPr="00B75591">
      <w:rPr>
        <w:sz w:val="20"/>
        <w:szCs w:val="20"/>
      </w:rPr>
      <w:tab/>
      <w:t xml:space="preserve">        Tel: (604)-428-6226               info@atcma.org                      http://www.atcma.org</w:t>
    </w:r>
  </w:p>
  <w:p w14:paraId="0982ABCE" w14:textId="406EB706" w:rsidR="004253D5" w:rsidRDefault="004253D5">
    <w:pPr>
      <w:pStyle w:val="Header"/>
    </w:pPr>
  </w:p>
  <w:p w14:paraId="37C78EBB" w14:textId="77777777" w:rsidR="004253D5" w:rsidRDefault="00425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D5"/>
    <w:rsid w:val="000D741F"/>
    <w:rsid w:val="00214345"/>
    <w:rsid w:val="002B6AAE"/>
    <w:rsid w:val="004253D5"/>
    <w:rsid w:val="00445691"/>
    <w:rsid w:val="0048600A"/>
    <w:rsid w:val="004C4582"/>
    <w:rsid w:val="00554F93"/>
    <w:rsid w:val="005E3105"/>
    <w:rsid w:val="006B1506"/>
    <w:rsid w:val="006B519A"/>
    <w:rsid w:val="007E5506"/>
    <w:rsid w:val="00801758"/>
    <w:rsid w:val="008132B6"/>
    <w:rsid w:val="00822A5C"/>
    <w:rsid w:val="00975773"/>
    <w:rsid w:val="00A31CCB"/>
    <w:rsid w:val="00C10540"/>
    <w:rsid w:val="00CB5E39"/>
    <w:rsid w:val="00EB0EDE"/>
    <w:rsid w:val="00F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D206"/>
  <w15:chartTrackingRefBased/>
  <w15:docId w15:val="{EB240233-C458-4AAD-8BD1-6018AC3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3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D5"/>
  </w:style>
  <w:style w:type="paragraph" w:styleId="Footer">
    <w:name w:val="footer"/>
    <w:basedOn w:val="Normal"/>
    <w:link w:val="FooterChar"/>
    <w:uiPriority w:val="99"/>
    <w:unhideWhenUsed/>
    <w:rsid w:val="0042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Carr</dc:creator>
  <cp:keywords/>
  <dc:description/>
  <cp:lastModifiedBy>Melissa Carr</cp:lastModifiedBy>
  <cp:revision>17</cp:revision>
  <dcterms:created xsi:type="dcterms:W3CDTF">2025-04-11T00:23:00Z</dcterms:created>
  <dcterms:modified xsi:type="dcterms:W3CDTF">2025-04-11T00:44:00Z</dcterms:modified>
</cp:coreProperties>
</file>